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Социальная гигиена и организация госсанэпидслужбы - кейс 1</w:t>
      </w:r>
    </w:p>
    <w:p>
      <w:pPr>
        <w:jc w:val="center"/>
      </w:pPr>
      <w:r>
        <w:rPr>
          <w:sz w:val="24"/>
        </w:rPr>
        <w:t>Materials for the selected specialty</w:t>
      </w:r>
    </w:p>
    <w:p>
      <w:pPr>
        <w:jc w:val="center"/>
      </w:pPr>
      <w:r>
        <w:rPr>
          <w:i/>
        </w:rPr>
        <w:t>Тип: Кейсы | Образование: Высшее образование | Специализация: Социальная гигиена и организация госсанэпидслужбы | Записей: 1 | Кейс: 1 | Вопросов: 12</w:t>
      </w:r>
    </w:p>
    <w:p>
      <w:r>
        <w:br w:type="page"/>
      </w:r>
    </w:p>
    <w:p>
      <w:pPr>
        <w:pStyle w:val="Heading1"/>
      </w:pPr>
      <w:r>
        <w:t>Социальная гигиена и организация госсанэпидслужбы - кейс 1</w:t>
      </w:r>
    </w:p>
    <w:p>
      <w:r>
        <w:rPr>
          <w:b/>
        </w:rPr>
        <w:t xml:space="preserve">Образование: </w:t>
      </w:r>
      <w:r>
        <w:t>Высшее образование</w:t>
      </w:r>
      <w:r>
        <w:rPr>
          <w:b/>
        </w:rPr>
        <w:t xml:space="preserve"> | Специализация: </w:t>
      </w:r>
      <w:r>
        <w:t>Социальная гигиена и организация госсанэпидслужбы</w:t>
      </w:r>
    </w:p>
    <w:p>
      <w:pPr>
        <w:pStyle w:val="Heading2"/>
      </w:pPr>
      <w:r>
        <w:t>1. УСЛОВИЕ СИТУАЦИОННОЙ ЗАДАЧИ</w:t>
      </w:r>
    </w:p>
    <w:p>
      <w:pPr>
        <w:pStyle w:val="Heading3"/>
      </w:pPr>
      <w:r>
        <w:t>1.1. Ситуация</w:t>
      </w:r>
    </w:p>
    <w:p>
      <w:pPr>
        <w:spacing w:after="58"/>
      </w:pPr>
      <w:r>
        <w:rPr>
          <w:b w:val="0"/>
          <w:i w:val="0"/>
        </w:rPr>
        <w:t>Вы – заместитель руководителя Управления Роспотребнадзора по N-ской области. По Вашему поручению уполномоченные сотрудники ФБУЗ Центр гигиены и эпидемиологии провели оценку риска для здоровья населения, обусловленного воздействием химических веществ, загрязняющих окружающую среду.</w:t>
      </w:r>
    </w:p>
    <w:p>
      <w:pPr>
        <w:pStyle w:val="Heading2"/>
      </w:pPr>
      <w:r>
        <w:t>1. Организация деятельности</w:t>
      </w:r>
    </w:p>
    <w:p>
      <w:r>
        <w:rPr>
          <w:b/>
          <w:color w:val="0F766E"/>
        </w:rPr>
        <w:t>1. Вопрос</w:t>
      </w:r>
    </w:p>
    <w:p>
      <w:r>
        <w:rPr>
          <w:b w:val="0"/>
          <w:i w:val="0"/>
        </w:rPr>
        <w:t>Выполнение работ по оценке риска для здоровья населения, обусловленного воздействием химических веществ, загрязняющих окружающую среду, осуществляется в рамках</w:t>
      </w:r>
    </w:p>
    <w:p>
      <w:pPr>
        <w:pStyle w:val="ListBullet"/>
      </w:pPr>
      <w:r>
        <w:rPr>
          <w:b/>
        </w:rPr>
        <w:t xml:space="preserve">1. </w:t>
      </w:r>
      <w:r>
        <w:rPr>
          <w:b w:val="0"/>
          <w:i w:val="0"/>
        </w:rPr>
        <w:t>реализации надзорной функции</w:t>
      </w:r>
    </w:p>
    <w:p>
      <w:pPr>
        <w:pStyle w:val="ListBullet"/>
      </w:pPr>
      <w:r>
        <w:rPr>
          <w:b/>
        </w:rPr>
        <w:t xml:space="preserve">2. </w:t>
      </w:r>
      <w:r>
        <w:rPr>
          <w:b w:val="0"/>
          <w:i w:val="0"/>
        </w:rPr>
        <w:t>гигиенического воспитания и обучения декретированных групп</w:t>
      </w:r>
    </w:p>
    <w:p>
      <w:pPr>
        <w:pStyle w:val="ListBullet"/>
      </w:pPr>
      <w:r>
        <w:rPr>
          <w:b/>
        </w:rPr>
        <w:t xml:space="preserve">3. </w:t>
      </w:r>
      <w:r>
        <w:rPr>
          <w:b/>
          <w:i w:val="0"/>
          <w:color w:val="0F766E"/>
          <w:highlight w:val="yellow"/>
        </w:rPr>
        <w:t>организации и проведения социально-гигиенического мониторинга</w:t>
      </w:r>
    </w:p>
    <w:p>
      <w:pPr>
        <w:pStyle w:val="ListBullet"/>
      </w:pPr>
      <w:r>
        <w:rPr>
          <w:b/>
        </w:rPr>
        <w:t xml:space="preserve">4. </w:t>
      </w:r>
      <w:r>
        <w:rPr>
          <w:b w:val="0"/>
          <w:i w:val="0"/>
        </w:rPr>
        <w:t>производственного контроля</w:t>
      </w:r>
    </w:p>
    <w:p>
      <w:pPr>
        <w:ind w:left="288"/>
      </w:pPr>
      <w:r>
        <w:rPr>
          <w:b/>
          <w:color w:val="0F766E"/>
          <w:highlight w:val="yellow"/>
        </w:rPr>
        <w:t xml:space="preserve">Правильный ответ: </w:t>
      </w:r>
      <w:r>
        <w:rPr>
          <w:b/>
          <w:i w:val="0"/>
        </w:rPr>
        <w:t>организации и проведения социально-гигиенического мониторинга</w:t>
      </w:r>
    </w:p>
    <w:p>
      <w:pPr>
        <w:ind w:left="504"/>
      </w:pPr>
      <w:r>
        <w:rPr>
          <w:b w:val="0"/>
          <w:i/>
        </w:rPr>
        <w:t>При ведении социально-гигиенического мониторинга решаются задачи выявления причинно-следственных связей между состоянием здоровья населения и воздействием факторов среды обитания человека на основе системного анализа и оценки риска для здоровья населения</w:t>
        <w:br/>
        <w:br/>
        <w:t>Постановление Правительства Российской Федерации от 2 февраля 2006 г. N 60 «Об утверждении положения о проведении социально-гигиенического мониторинга» (п. 3)</w:t>
        <w:br/>
        <w:br/>
      </w:r>
      <w:hyperlink r:id="rId9">
        <w:r>
          <w:rPr>
            <w:color w:val="0F766E"/>
            <w:u w:val="single"/>
          </w:rPr>
          <w:t>Постановление Правительства РФ от 02.02.2006 N 60 (ред. от 25.05.2017) "Об утверждении Положения о проведении социально-гигиенического мониторинга"</w:t>
        </w:r>
      </w:hyperlink>
      <w:r>
        <w:rPr>
          <w:b w:val="0"/>
          <w:i/>
        </w:rPr>
        <w:br/>
        <w:br/>
      </w:r>
      <w:hyperlink r:id="rId10">
        <w:r>
          <w:rPr>
            <w:color w:val="0F766E"/>
            <w:u w:val="single"/>
          </w:rPr>
          <w:t>(1)</w:t>
        </w:r>
      </w:hyperlink>
    </w:p>
    <w:p>
      <w:pPr>
        <w:pStyle w:val="Heading2"/>
      </w:pPr>
      <w:r>
        <w:t>2. Вариатив</w:t>
      </w:r>
    </w:p>
    <w:p>
      <w:r>
        <w:rPr>
          <w:b/>
          <w:color w:val="0F766E"/>
        </w:rPr>
        <w:t>2. Вопрос</w:t>
      </w:r>
    </w:p>
    <w:p>
      <w:r>
        <w:rPr>
          <w:b w:val="0"/>
          <w:i w:val="0"/>
        </w:rPr>
        <w:t>Проведение социально-гигиенического мониторинга законодательно закреплено Федеральным законом</w:t>
      </w:r>
    </w:p>
    <w:p>
      <w:pPr>
        <w:pStyle w:val="ListBullet"/>
      </w:pPr>
      <w:r>
        <w:rPr>
          <w:b/>
        </w:rPr>
        <w:t xml:space="preserve">1. </w:t>
      </w:r>
      <w:r>
        <w:rPr>
          <w:b w:val="0"/>
          <w:i w:val="0"/>
        </w:rPr>
        <w:t>N 7-ФЗ «Об охране окружающей среды»</w:t>
      </w:r>
    </w:p>
    <w:p>
      <w:pPr>
        <w:pStyle w:val="ListBullet"/>
      </w:pPr>
      <w:r>
        <w:rPr>
          <w:b/>
        </w:rPr>
        <w:t xml:space="preserve">2. </w:t>
      </w:r>
      <w:r>
        <w:rPr>
          <w:b w:val="0"/>
          <w:i w:val="0"/>
        </w:rPr>
        <w:t>N 323-ФЗ «Об основах охраны здоровья граждан»</w:t>
      </w:r>
    </w:p>
    <w:p>
      <w:pPr>
        <w:pStyle w:val="ListBullet"/>
      </w:pPr>
      <w:r>
        <w:rPr>
          <w:b/>
        </w:rPr>
        <w:t xml:space="preserve">3. </w:t>
      </w:r>
      <w:r>
        <w:rPr>
          <w:b/>
          <w:i w:val="0"/>
          <w:color w:val="0F766E"/>
          <w:highlight w:val="yellow"/>
        </w:rPr>
        <w:t>N 52-ФЗ «О санитарно-эпидемиологическом благополучии населения»</w:t>
      </w:r>
    </w:p>
    <w:p>
      <w:pPr>
        <w:pStyle w:val="ListBullet"/>
      </w:pPr>
      <w:r>
        <w:rPr>
          <w:b/>
        </w:rPr>
        <w:t xml:space="preserve">4. </w:t>
      </w:r>
      <w:r>
        <w:rPr>
          <w:b w:val="0"/>
          <w:i w:val="0"/>
        </w:rPr>
        <w:t>N 184-ФЗ «О техническом регулировании»</w:t>
      </w:r>
    </w:p>
    <w:p>
      <w:pPr>
        <w:ind w:left="288"/>
      </w:pPr>
      <w:r>
        <w:rPr>
          <w:b/>
          <w:color w:val="0F766E"/>
          <w:highlight w:val="yellow"/>
        </w:rPr>
        <w:t xml:space="preserve">Правильный ответ: </w:t>
      </w:r>
      <w:r>
        <w:rPr>
          <w:b/>
          <w:i w:val="0"/>
        </w:rPr>
        <w:t>N 52-ФЗ «О санитарно-эпидемиологическом благополучии населения»</w:t>
      </w:r>
    </w:p>
    <w:p>
      <w:pPr>
        <w:ind w:left="504"/>
      </w:pPr>
      <w:r>
        <w:rPr>
          <w:b w:val="0"/>
          <w:i/>
        </w:rPr>
        <w:t>Проведение социально-гигиенического мониторинга законодательно закреплено Федеральным законом N 52-ФЗ «О санитарно-эпидемиологическом благополучии населения»</w:t>
        <w:br/>
        <w:br/>
        <w:t>Федеральный закон N 52-ФЗ «О санитарно-эпидемиологическом благополучии населения», статьи 2, 45</w:t>
        <w:br/>
        <w:br/>
      </w:r>
      <w:hyperlink r:id="rId11">
        <w:r>
          <w:rPr>
            <w:color w:val="0F766E"/>
            <w:u w:val="single"/>
          </w:rPr>
          <w:t>Федеральный закон Российской Федерации от 30 марта 1999 г. № 52-ФЗ "О санитарно-эпидемиологическом благополучии населения" (26.12.2024)</w:t>
        </w:r>
      </w:hyperlink>
      <w:r>
        <w:rPr>
          <w:b w:val="0"/>
          <w:i/>
        </w:rPr>
        <w:br/>
        <w:br/>
      </w:r>
      <w:hyperlink r:id="rId12">
        <w:r>
          <w:rPr>
            <w:color w:val="0F766E"/>
            <w:u w:val="single"/>
          </w:rPr>
          <w:t>(1)</w:t>
        </w:r>
      </w:hyperlink>
      <w:r>
        <w:rPr>
          <w:b w:val="0"/>
          <w:i/>
        </w:rPr>
        <w:br/>
        <w:br/>
      </w:r>
      <w:hyperlink r:id="rId13">
        <w:r>
          <w:rPr>
            <w:color w:val="0F766E"/>
            <w:u w:val="single"/>
          </w:rPr>
          <w:t>(2)</w:t>
        </w:r>
      </w:hyperlink>
    </w:p>
    <w:p>
      <w:r>
        <w:rPr>
          <w:b/>
          <w:color w:val="0F766E"/>
        </w:rPr>
        <w:t>3. Вопрос</w:t>
      </w:r>
    </w:p>
    <w:p>
      <w:r>
        <w:rPr>
          <w:b w:val="0"/>
          <w:i w:val="0"/>
        </w:rPr>
        <w:t>Социально-гигиенический мониторинг представляет собой государственную систему</w:t>
      </w:r>
    </w:p>
    <w:p>
      <w:pPr>
        <w:pStyle w:val="ListBullet"/>
      </w:pPr>
      <w:r>
        <w:rPr>
          <w:b/>
        </w:rPr>
        <w:t xml:space="preserve">1. </w:t>
      </w:r>
      <w:r>
        <w:rPr>
          <w:b w:val="0"/>
          <w:i w:val="0"/>
        </w:rPr>
        <w:t>наблюдения, исследования (измерения) параметров состояния факторов среды обитания, гигиенической диагностики, анализа, экспертизы, оценки, в том числе оценки риска для здоровья населения, определения причинно-следственных связей между состоянием здоровья населения и воздействием на него факторов среды обитания, принятия мер по устранению вредного воздействия факторов среды обитания на здоровье населения</w:t>
      </w:r>
    </w:p>
    <w:p>
      <w:pPr>
        <w:pStyle w:val="ListBullet"/>
      </w:pPr>
      <w:r>
        <w:rPr>
          <w:b/>
        </w:rPr>
        <w:t xml:space="preserve">2. </w:t>
      </w:r>
      <w:r>
        <w:rPr>
          <w:b/>
          <w:i w:val="0"/>
          <w:color w:val="0F766E"/>
          <w:highlight w:val="yellow"/>
        </w:rPr>
        <w:t>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населения и воздействием на него факторов среды обитания для принятия мер по устранению вредного воздействия на население факторов среды обитания</w:t>
      </w:r>
    </w:p>
    <w:p>
      <w:pPr>
        <w:pStyle w:val="ListBullet"/>
      </w:pPr>
      <w:r>
        <w:rPr>
          <w:b/>
        </w:rPr>
        <w:t xml:space="preserve">3. </w:t>
      </w:r>
      <w:r>
        <w:rPr>
          <w:b w:val="0"/>
          <w:i w:val="0"/>
        </w:rPr>
        <w:t>наблюдения, анализа, оценки и прогноза состояния здоровья населения и среды обитания человека для принятия мер по устранению вредного воздействия на население факторов среды обитания и обоснования приоритетов при реализации надзорной функции</w:t>
      </w:r>
    </w:p>
    <w:p>
      <w:pPr>
        <w:pStyle w:val="ListBullet"/>
      </w:pPr>
      <w:r>
        <w:rPr>
          <w:b/>
        </w:rPr>
        <w:t xml:space="preserve">4. </w:t>
      </w:r>
      <w:r>
        <w:rPr>
          <w:b w:val="0"/>
          <w:i w:val="0"/>
        </w:rPr>
        <w:t>наблюдения за факторами среды обитания человека, и определения причинно-следственных связей между состоянием здоровья населения и воздействием на него факторов среды обитания</w:t>
      </w:r>
    </w:p>
    <w:p>
      <w:pPr>
        <w:ind w:left="288"/>
      </w:pPr>
      <w:r>
        <w:rPr>
          <w:b/>
          <w:color w:val="0F766E"/>
          <w:highlight w:val="yellow"/>
        </w:rPr>
        <w:t xml:space="preserve">Правильный ответ: </w:t>
      </w:r>
      <w:r>
        <w:rPr>
          <w:b/>
          <w:i w:val="0"/>
        </w:rPr>
        <w:t>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населения и воздействием на него факторов среды обитания для принятия мер по устранению вредного воздействия на население факторов среды обитания</w:t>
      </w:r>
    </w:p>
    <w:p>
      <w:pPr>
        <w:ind w:left="504"/>
      </w:pPr>
      <w:r>
        <w:rPr>
          <w:b w:val="0"/>
          <w:i/>
        </w:rPr>
        <w:t>Социально-гигиенический мониторинг представляет собой государственную систему наблюдения, анализа, оценки и прогноза состояния здоровья населения и среды обитания человека, а также определения причинно-следственных связей между состоянием здоровья населения и воздействием на него факторов среды обитания для принятия мер по устранению вредного воздействия на население факторов среды обитания</w:t>
        <w:br/>
        <w:br/>
        <w:t>Постановление Правительства РФ от 02.02.2006 № 60 «Об утверждении положения о проведении социально-гигиенического мониторинга», пункт 2</w:t>
        <w:br/>
        <w:br/>
      </w:r>
      <w:hyperlink r:id="rId9">
        <w:r>
          <w:rPr>
            <w:color w:val="0F766E"/>
            <w:u w:val="single"/>
          </w:rPr>
          <w:t>Постановление Правительства РФ от 02.02.2006 N 60 (ред. от 25.05.2017) "Об утверждении Положения о проведении социально-гигиенического мониторинга"</w:t>
        </w:r>
      </w:hyperlink>
      <w:r>
        <w:rPr>
          <w:b w:val="0"/>
          <w:i/>
        </w:rPr>
        <w:br/>
        <w:br/>
      </w:r>
      <w:hyperlink r:id="rId14">
        <w:r>
          <w:rPr>
            <w:color w:val="0F766E"/>
            <w:u w:val="single"/>
          </w:rPr>
          <w:t>(1)</w:t>
        </w:r>
      </w:hyperlink>
    </w:p>
    <w:p>
      <w:r>
        <w:rPr>
          <w:b/>
          <w:color w:val="0F766E"/>
        </w:rPr>
        <w:t>4. Вопрос</w:t>
      </w:r>
    </w:p>
    <w:p>
      <w:r>
        <w:rPr>
          <w:b w:val="0"/>
          <w:i w:val="0"/>
        </w:rPr>
        <w:t>Под вредом здоровью человека понимают</w:t>
      </w:r>
    </w:p>
    <w:p>
      <w:pPr>
        <w:pStyle w:val="ListBullet"/>
      </w:pPr>
      <w:r>
        <w:rPr>
          <w:b/>
        </w:rPr>
        <w:t xml:space="preserve">1. </w:t>
      </w:r>
      <w:r>
        <w:rPr>
          <w:b w:val="0"/>
          <w:i w:val="0"/>
        </w:rPr>
        <w:t>изменения в морфологии, физиологии, росте, развитии или продолжительности жизни организма, популяции или потомства</w:t>
      </w:r>
    </w:p>
    <w:p>
      <w:pPr>
        <w:pStyle w:val="ListBullet"/>
      </w:pPr>
      <w:r>
        <w:rPr>
          <w:b/>
        </w:rPr>
        <w:t xml:space="preserve">2. </w:t>
      </w:r>
      <w:r>
        <w:rPr>
          <w:b w:val="0"/>
          <w:i w:val="0"/>
        </w:rPr>
        <w:t>воздействие факторов среды обитания, создающее угрозу жизни или здоровью человека либо угрозу для жизни и здоровья будущих поколений</w:t>
      </w:r>
    </w:p>
    <w:p>
      <w:pPr>
        <w:pStyle w:val="ListBullet"/>
      </w:pPr>
      <w:r>
        <w:rPr>
          <w:b/>
        </w:rPr>
        <w:t xml:space="preserve">3. </w:t>
      </w:r>
      <w:r>
        <w:rPr>
          <w:b w:val="0"/>
          <w:i w:val="0"/>
        </w:rPr>
        <w:t>нарушение анатомической целостности и физиологической функции органов и тканей человека, вызванных негативным воздействием хозяйственной или иной деятельности, чрезвычайными ситуациями природного и техногенного характера</w:t>
      </w:r>
    </w:p>
    <w:p>
      <w:pPr>
        <w:pStyle w:val="ListBullet"/>
      </w:pPr>
      <w:r>
        <w:rPr>
          <w:b/>
        </w:rPr>
        <w:t xml:space="preserve">4. </w:t>
      </w:r>
      <w:r>
        <w:rPr>
          <w:b/>
          <w:i w:val="0"/>
          <w:color w:val="0F766E"/>
          <w:highlight w:val="yellow"/>
        </w:rPr>
        <w:t>нарушение анатомической целостности и физиологической функции органов и тканей человека в результате воздействия физических, химических, биологических и психических факторов внешней среды</w:t>
      </w:r>
    </w:p>
    <w:p>
      <w:pPr>
        <w:ind w:left="288"/>
      </w:pPr>
      <w:r>
        <w:rPr>
          <w:b/>
          <w:color w:val="0F766E"/>
          <w:highlight w:val="yellow"/>
        </w:rPr>
        <w:t xml:space="preserve">Правильный ответ: </w:t>
      </w:r>
      <w:r>
        <w:rPr>
          <w:b/>
          <w:i w:val="0"/>
        </w:rPr>
        <w:t>нарушение анатомической целостности и физиологической функции органов и тканей человека в результате воздействия физических, химических, биологических и психических факторов внешней среды</w:t>
      </w:r>
    </w:p>
    <w:p>
      <w:pPr>
        <w:ind w:left="504"/>
      </w:pPr>
      <w:r>
        <w:rPr>
          <w:b w:val="0"/>
          <w:i/>
        </w:rPr>
        <w:t>Вред здоровью человека - нарушение анатомической целостности и физиологической функции органов и тканей человека в результате воздействия физических, химических, биологических и психических факторов внешней среды.</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6">
        <w:r>
          <w:rPr>
            <w:color w:val="0F766E"/>
            <w:u w:val="single"/>
          </w:rPr>
          <w:t>(1)</w:t>
        </w:r>
      </w:hyperlink>
    </w:p>
    <w:p>
      <w:r>
        <w:rPr>
          <w:b/>
          <w:color w:val="0F766E"/>
        </w:rPr>
        <w:t>5. Вопрос</w:t>
      </w:r>
    </w:p>
    <w:p>
      <w:r>
        <w:rPr>
          <w:b w:val="0"/>
          <w:i w:val="0"/>
        </w:rPr>
        <w:t>Под управлением риска понимают</w:t>
      </w:r>
    </w:p>
    <w:p>
      <w:pPr>
        <w:pStyle w:val="ListBullet"/>
      </w:pPr>
      <w:r>
        <w:rPr>
          <w:b/>
        </w:rPr>
        <w:t xml:space="preserve">1. </w:t>
      </w:r>
      <w:r>
        <w:rPr>
          <w:b w:val="0"/>
          <w:i w:val="0"/>
        </w:rPr>
        <w:t>устранение либо минимизацию вероятности развития угрозы жизни или здоровью человека, угрозы жизни или здоровью будущих поколений, обусловленной воздействием факторов среды обитания</w:t>
      </w:r>
    </w:p>
    <w:p>
      <w:pPr>
        <w:pStyle w:val="ListBullet"/>
      </w:pPr>
      <w:r>
        <w:rPr>
          <w:b/>
        </w:rPr>
        <w:t xml:space="preserve">2. </w:t>
      </w:r>
      <w:r>
        <w:rPr>
          <w:b w:val="0"/>
          <w:i w:val="0"/>
        </w:rPr>
        <w:t>процесс управления совокупностью свойств факторов среды обитания человека, определяющих их способность вызывать неблагоприятные для здоровья эффекты при определенных условиях воздействия,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r>
    </w:p>
    <w:p>
      <w:pPr>
        <w:pStyle w:val="ListBullet"/>
      </w:pPr>
      <w:r>
        <w:rPr>
          <w:b/>
        </w:rPr>
        <w:t xml:space="preserve">3. </w:t>
      </w:r>
      <w:r>
        <w:rPr>
          <w:b/>
          <w:i w:val="0"/>
          <w:color w:val="0F766E"/>
          <w:highlight w:val="yellow"/>
        </w:rPr>
        <w:t>процесс принятия решений, включающий рассмотрение совокупности политических, социальных, экономических медико-социальных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r>
    </w:p>
    <w:p>
      <w:pPr>
        <w:pStyle w:val="ListBullet"/>
      </w:pPr>
      <w:r>
        <w:rPr>
          <w:b/>
        </w:rPr>
        <w:t xml:space="preserve">4. </w:t>
      </w:r>
      <w:r>
        <w:rPr>
          <w:b w:val="0"/>
          <w:i w:val="0"/>
        </w:rPr>
        <w:t>процесс управления совокупностью свойств факторов среды обитания человека, определяющих их способность вызывать неблагоприятные для здоровья эффекты при определенных условиях воздействия, в заданной санитарно-эпидемиологической ситуации, на конкретной территории, с учетом региональных природно-климатических особенностей и антропогенного загрязнения среды обитания</w:t>
      </w:r>
    </w:p>
    <w:p>
      <w:pPr>
        <w:ind w:left="288"/>
      </w:pPr>
      <w:r>
        <w:rPr>
          <w:b/>
          <w:color w:val="0F766E"/>
          <w:highlight w:val="yellow"/>
        </w:rPr>
        <w:t xml:space="preserve">Правильный ответ: </w:t>
      </w:r>
      <w:r>
        <w:rPr>
          <w:b/>
          <w:i w:val="0"/>
        </w:rPr>
        <w:t>процесс принятия решений, включающий рассмотрение совокупности политических, социальных, экономических медико-социальных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r>
    </w:p>
    <w:p>
      <w:pPr>
        <w:ind w:left="504"/>
      </w:pPr>
      <w:r>
        <w:rPr>
          <w:b w:val="0"/>
          <w:i/>
        </w:rPr>
        <w:t>Управление риском (риск-менеджмент) - процесс принятия решений, включающий рассмотрение совокупности политических, социальных, экономических, медико-социальных и технических факторов совместно с соответствующей информацией по оценке риска с целью разработки оптимальных решений по устранению или снижению уровней риска, а также способам последующего контроля (мониторинга) экспозиций и рисков.</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7">
        <w:r>
          <w:rPr>
            <w:color w:val="0F766E"/>
            <w:u w:val="single"/>
          </w:rPr>
          <w:t>(1)</w:t>
        </w:r>
      </w:hyperlink>
    </w:p>
    <w:p>
      <w:r>
        <w:rPr>
          <w:b/>
          <w:color w:val="0F766E"/>
        </w:rPr>
        <w:t>6. Вопрос</w:t>
      </w:r>
    </w:p>
    <w:p>
      <w:r>
        <w:rPr>
          <w:b w:val="0"/>
          <w:i w:val="0"/>
        </w:rPr>
        <w:t>Оценка риска для здоровья населения, обусловленного воздействием химических веществ, загрязняющих окружающую среду, проводится в соответствии с</w:t>
      </w:r>
    </w:p>
    <w:p>
      <w:pPr>
        <w:pStyle w:val="ListBullet"/>
      </w:pPr>
      <w:r>
        <w:rPr>
          <w:b/>
        </w:rPr>
        <w:t xml:space="preserve">1. </w:t>
      </w:r>
      <w:r>
        <w:rPr>
          <w:b w:val="0"/>
          <w:i w:val="0"/>
        </w:rPr>
        <w:t>постановлениями главных государственных санитарных врачей в субъектах Российской Федерации</w:t>
      </w:r>
    </w:p>
    <w:p>
      <w:pPr>
        <w:pStyle w:val="ListBullet"/>
      </w:pPr>
      <w:r>
        <w:rPr>
          <w:b/>
        </w:rPr>
        <w:t xml:space="preserve">2. </w:t>
      </w:r>
      <w:r>
        <w:rPr>
          <w:b w:val="0"/>
          <w:i w:val="0"/>
        </w:rPr>
        <w:t>порядком проведения оценки риска для здоровья населения при воздействии химических веществ, загрязняющих окружающую среду, утвержденным постановлением Правительства Российской Федерации</w:t>
      </w:r>
    </w:p>
    <w:p>
      <w:pPr>
        <w:pStyle w:val="ListBullet"/>
      </w:pPr>
      <w:r>
        <w:rPr>
          <w:b/>
        </w:rPr>
        <w:t xml:space="preserve">3. </w:t>
      </w:r>
      <w:r>
        <w:rPr>
          <w:b w:val="0"/>
          <w:i w:val="0"/>
        </w:rPr>
        <w:t>методическими рекомендациями, утвержденными Министром здравоохранения Российской Федерации</w:t>
      </w:r>
    </w:p>
    <w:p>
      <w:pPr>
        <w:pStyle w:val="ListBullet"/>
      </w:pPr>
      <w:r>
        <w:rPr>
          <w:b/>
        </w:rPr>
        <w:t xml:space="preserve">4. </w:t>
      </w:r>
      <w:r>
        <w:rPr>
          <w:b/>
          <w:i w:val="0"/>
          <w:color w:val="0F766E"/>
          <w:highlight w:val="yellow"/>
        </w:rPr>
        <w:t>руководством по оценке риска для здоровья населения при воздействии химических веществ, загрязняющих среду обитания, Р 2.1.10.3968-23</w:t>
      </w:r>
    </w:p>
    <w:p>
      <w:pPr>
        <w:ind w:left="288"/>
      </w:pPr>
      <w:r>
        <w:rPr>
          <w:b/>
          <w:color w:val="0F766E"/>
          <w:highlight w:val="yellow"/>
        </w:rPr>
        <w:t xml:space="preserve">Правильный ответ: </w:t>
      </w:r>
      <w:r>
        <w:rPr>
          <w:b/>
          <w:i w:val="0"/>
        </w:rPr>
        <w:t>руководством по оценке риска для здоровья населения при воздействии химических веществ, загрязняющих среду обитания, Р 2.1.10.3968-23</w:t>
      </w:r>
    </w:p>
    <w:p>
      <w:pPr>
        <w:ind w:left="504"/>
      </w:pPr>
      <w:r>
        <w:rPr>
          <w:b w:val="0"/>
          <w:i/>
        </w:rPr>
        <w:t>Оценка риска для здоровья населения, обусловленного воздействием химических веществ, загрязняющих окружающую среду, проводится в соответствии с Р 2.1.10.3968-23 "Руководство по оценке риска здоровью населения при воздействии химических веществ, загрязняющих среду обитания", утвержденным Главным государственным санитарным врачом Российской Федерации.</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8">
        <w:r>
          <w:rPr>
            <w:color w:val="0F766E"/>
            <w:u w:val="single"/>
          </w:rPr>
          <w:t>(1)</w:t>
        </w:r>
      </w:hyperlink>
    </w:p>
    <w:p>
      <w:r>
        <w:rPr>
          <w:b/>
          <w:color w:val="0F766E"/>
        </w:rPr>
        <w:t>7. Вопрос</w:t>
      </w:r>
    </w:p>
    <w:p>
      <w:r>
        <w:rPr>
          <w:b w:val="0"/>
          <w:i w:val="0"/>
        </w:rPr>
        <w:t>Под риском здоровью человека понимают</w:t>
      </w:r>
    </w:p>
    <w:p>
      <w:pPr>
        <w:pStyle w:val="ListBullet"/>
      </w:pPr>
      <w:r>
        <w:rPr>
          <w:b/>
        </w:rPr>
        <w:t xml:space="preserve">1. </w:t>
      </w:r>
      <w:r>
        <w:rPr>
          <w:b w:val="0"/>
          <w:i w:val="0"/>
        </w:rPr>
        <w:t>вероятность негативных изменений состояния здоровья населения или состояния здоровья будущих поколений, а также нарушений благоприятных условий жизнедеятельности человека</w:t>
      </w:r>
    </w:p>
    <w:p>
      <w:pPr>
        <w:pStyle w:val="ListBullet"/>
      </w:pPr>
      <w:r>
        <w:rPr>
          <w:b/>
        </w:rPr>
        <w:t xml:space="preserve">2. </w:t>
      </w:r>
      <w:r>
        <w:rPr>
          <w:b/>
          <w:i w:val="0"/>
          <w:color w:val="0F766E"/>
          <w:highlight w:val="yellow"/>
        </w:rPr>
        <w:t>вероятность нанесения вреда жизни или здоровью человека либо угрозы жизни или здоровью будущих поколений, в том числе с учетом тяжести этого вреда, обусловленная воздействием факторов среды обитания</w:t>
      </w:r>
    </w:p>
    <w:p>
      <w:pPr>
        <w:pStyle w:val="ListBullet"/>
      </w:pPr>
      <w:r>
        <w:rPr>
          <w:b/>
        </w:rPr>
        <w:t xml:space="preserve">3. </w:t>
      </w:r>
      <w:r>
        <w:rPr>
          <w:b w:val="0"/>
          <w:i w:val="0"/>
        </w:rPr>
        <w:t>совокупность свойств фактора среды обитания человека, определяющих их способность вызывать неблагоприятные для здоровья эффекты при определенных условиях воздействия</w:t>
      </w:r>
    </w:p>
    <w:p>
      <w:pPr>
        <w:pStyle w:val="ListBullet"/>
      </w:pPr>
      <w:r>
        <w:rPr>
          <w:b/>
        </w:rPr>
        <w:t xml:space="preserve">4. </w:t>
      </w:r>
      <w:r>
        <w:rPr>
          <w:b w:val="0"/>
          <w:i w:val="0"/>
        </w:rPr>
        <w:t>вероятность развития угрозы жизни или здоровью человека в заданной санитарно-эпидемиологической ситуации на конкретной территории, обусловленную воздействием факторов среды обитания, с учетом региональных природно-климатических особенностей и антропогенного загрязнения среды обитания</w:t>
      </w:r>
    </w:p>
    <w:p>
      <w:pPr>
        <w:ind w:left="288"/>
      </w:pPr>
      <w:r>
        <w:rPr>
          <w:b/>
          <w:color w:val="0F766E"/>
          <w:highlight w:val="yellow"/>
        </w:rPr>
        <w:t xml:space="preserve">Правильный ответ: </w:t>
      </w:r>
      <w:r>
        <w:rPr>
          <w:b/>
          <w:i w:val="0"/>
        </w:rPr>
        <w:t>вероятность нанесения вреда жизни или здоровью человека либо угрозы жизни или здоровью будущих поколений, в том числе с учетом тяжести этого вреда, обусловленная воздействием факторов среды обитания</w:t>
      </w:r>
    </w:p>
    <w:p>
      <w:pPr>
        <w:ind w:left="504"/>
      </w:pPr>
      <w:r>
        <w:rPr>
          <w:b w:val="0"/>
          <w:i/>
        </w:rPr>
        <w:t>Риск здоровью - вероятность нанесения вреда жизни или здоровью человека либо угрозы жизни или здоровью будущих поколений, в том числе с учетом тяжести этого вреда, обусловленная воздействием факторов среды обитания.</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19">
        <w:r>
          <w:rPr>
            <w:color w:val="0F766E"/>
            <w:u w:val="single"/>
          </w:rPr>
          <w:t>(1)</w:t>
        </w:r>
      </w:hyperlink>
    </w:p>
    <w:p>
      <w:r>
        <w:rPr>
          <w:b/>
          <w:color w:val="0F766E"/>
        </w:rPr>
        <w:t>8. Вопрос</w:t>
      </w:r>
    </w:p>
    <w:p>
      <w:r>
        <w:rPr>
          <w:b w:val="0"/>
          <w:i w:val="0"/>
        </w:rPr>
        <w:t>Оценка риска для здоровья населения при воздействии химических веществ, загрязняющих окружающую среду, осуществляется в соответствии со следующими этапами: идентификация опасности, оценка зависимости «экспозиция-ответ», оценка +____________+ , характеристика риска</w:t>
      </w:r>
    </w:p>
    <w:p>
      <w:pPr>
        <w:pStyle w:val="ListBullet"/>
      </w:pPr>
      <w:r>
        <w:rPr>
          <w:b/>
        </w:rPr>
        <w:t xml:space="preserve">1. </w:t>
      </w:r>
      <w:r>
        <w:rPr>
          <w:b w:val="0"/>
          <w:i w:val="0"/>
        </w:rPr>
        <w:t>зависимости «фактор-эффект»</w:t>
      </w:r>
    </w:p>
    <w:p>
      <w:pPr>
        <w:pStyle w:val="ListBullet"/>
      </w:pPr>
      <w:r>
        <w:rPr>
          <w:b/>
        </w:rPr>
        <w:t xml:space="preserve">2. </w:t>
      </w:r>
      <w:r>
        <w:rPr>
          <w:b w:val="0"/>
          <w:i w:val="0"/>
        </w:rPr>
        <w:t>поглощения</w:t>
      </w:r>
    </w:p>
    <w:p>
      <w:pPr>
        <w:pStyle w:val="ListBullet"/>
      </w:pPr>
      <w:r>
        <w:rPr>
          <w:b/>
        </w:rPr>
        <w:t xml:space="preserve">3. </w:t>
      </w:r>
      <w:r>
        <w:rPr>
          <w:b/>
          <w:i w:val="0"/>
          <w:color w:val="0F766E"/>
          <w:highlight w:val="yellow"/>
        </w:rPr>
        <w:t>экспозиции</w:t>
      </w:r>
    </w:p>
    <w:p>
      <w:pPr>
        <w:pStyle w:val="ListBullet"/>
      </w:pPr>
      <w:r>
        <w:rPr>
          <w:b/>
        </w:rPr>
        <w:t xml:space="preserve">4. </w:t>
      </w:r>
      <w:r>
        <w:rPr>
          <w:b w:val="0"/>
          <w:i w:val="0"/>
        </w:rPr>
        <w:t>накопления</w:t>
      </w:r>
    </w:p>
    <w:p>
      <w:pPr>
        <w:ind w:left="288"/>
      </w:pPr>
      <w:r>
        <w:rPr>
          <w:b/>
          <w:color w:val="0F766E"/>
          <w:highlight w:val="yellow"/>
        </w:rPr>
        <w:t xml:space="preserve">Правильный ответ: </w:t>
      </w:r>
      <w:r>
        <w:rPr>
          <w:b/>
          <w:i w:val="0"/>
        </w:rPr>
        <w:t>экспозиции</w:t>
      </w:r>
    </w:p>
    <w:p>
      <w:pPr>
        <w:ind w:left="504"/>
      </w:pPr>
      <w:r>
        <w:rPr>
          <w:b w:val="0"/>
          <w:i/>
        </w:rPr>
        <w:t>Оценка риска для здоровья населения при воздействии химических веществ, загрязняющих окружающую среду, осуществляется в соответствии со следующими этапами: идентификация опасности, оценка зависимости "экспозиция - ответ", оценка экспозиции, характеристика риска</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0">
        <w:r>
          <w:rPr>
            <w:color w:val="0F766E"/>
            <w:u w:val="single"/>
          </w:rPr>
          <w:t>(1)</w:t>
        </w:r>
      </w:hyperlink>
    </w:p>
    <w:p>
      <w:r>
        <w:rPr>
          <w:b/>
          <w:color w:val="0F766E"/>
        </w:rPr>
        <w:t>9. Вопрос</w:t>
      </w:r>
    </w:p>
    <w:p>
      <w:r>
        <w:rPr>
          <w:b w:val="0"/>
          <w:i w:val="0"/>
        </w:rPr>
        <w:t>При выполнении оценки риска здоровью вредные эффекты по продолжительности экспозиции подразделяются на: хронические, пожизненные, подострые, а также</w:t>
      </w:r>
    </w:p>
    <w:p>
      <w:pPr>
        <w:pStyle w:val="ListBullet"/>
      </w:pPr>
      <w:r>
        <w:rPr>
          <w:b/>
        </w:rPr>
        <w:t xml:space="preserve">1. </w:t>
      </w:r>
      <w:r>
        <w:rPr>
          <w:b w:val="0"/>
          <w:i w:val="0"/>
        </w:rPr>
        <w:t>рецидивирующие</w:t>
      </w:r>
    </w:p>
    <w:p>
      <w:pPr>
        <w:pStyle w:val="ListBullet"/>
      </w:pPr>
      <w:r>
        <w:rPr>
          <w:b/>
        </w:rPr>
        <w:t xml:space="preserve">2. </w:t>
      </w:r>
      <w:r>
        <w:rPr>
          <w:b/>
          <w:i w:val="0"/>
          <w:color w:val="0F766E"/>
          <w:highlight w:val="yellow"/>
        </w:rPr>
        <w:t>острые</w:t>
      </w:r>
    </w:p>
    <w:p>
      <w:pPr>
        <w:pStyle w:val="ListBullet"/>
      </w:pPr>
      <w:r>
        <w:rPr>
          <w:b/>
        </w:rPr>
        <w:t xml:space="preserve">3. </w:t>
      </w:r>
      <w:r>
        <w:rPr>
          <w:b w:val="0"/>
          <w:i w:val="0"/>
        </w:rPr>
        <w:t>систематические</w:t>
      </w:r>
    </w:p>
    <w:p>
      <w:pPr>
        <w:pStyle w:val="ListBullet"/>
      </w:pPr>
      <w:r>
        <w:rPr>
          <w:b/>
        </w:rPr>
        <w:t xml:space="preserve">4. </w:t>
      </w:r>
      <w:r>
        <w:rPr>
          <w:b w:val="0"/>
          <w:i w:val="0"/>
        </w:rPr>
        <w:t>многолетние</w:t>
      </w:r>
    </w:p>
    <w:p>
      <w:pPr>
        <w:ind w:left="288"/>
      </w:pPr>
      <w:r>
        <w:rPr>
          <w:b/>
          <w:color w:val="0F766E"/>
          <w:highlight w:val="yellow"/>
        </w:rPr>
        <w:t xml:space="preserve">Правильный ответ: </w:t>
      </w:r>
      <w:r>
        <w:rPr>
          <w:b/>
          <w:i w:val="0"/>
        </w:rPr>
        <w:t>острые</w:t>
      </w:r>
    </w:p>
    <w:p>
      <w:pPr>
        <w:ind w:left="504"/>
      </w:pPr>
      <w:r>
        <w:rPr>
          <w:b w:val="0"/>
          <w:i/>
        </w:rPr>
        <w:t>...установление вредных эффектов, вызванных приоритетными веществами при оцениваемых маршрутах воздействия (включая приоритетные загрязненные среды и пути поступления химических веществ в организм человека), продолжительности экспозиции (острые, подострые, хронические, пожизненные) и путях их поступления в организм человека (ингаляционное, пероральное, накожное).</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1">
        <w:r>
          <w:rPr>
            <w:color w:val="0F766E"/>
            <w:u w:val="single"/>
          </w:rPr>
          <w:t>(1)</w:t>
        </w:r>
      </w:hyperlink>
    </w:p>
    <w:p>
      <w:r>
        <w:rPr>
          <w:b/>
          <w:color w:val="0F766E"/>
        </w:rPr>
        <w:t>10. Вопрос</w:t>
      </w:r>
    </w:p>
    <w:p>
      <w:r>
        <w:rPr>
          <w:b w:val="0"/>
          <w:i w:val="0"/>
        </w:rPr>
        <w:t>По результатам проведенной оценки риска установлено, что индивидуальный риск в течение всей жизни более 1×10-6, но менее 1×10-4. Подобный уровень риска</w:t>
      </w:r>
    </w:p>
    <w:p>
      <w:pPr>
        <w:pStyle w:val="ListBullet"/>
      </w:pPr>
      <w:r>
        <w:rPr>
          <w:b/>
        </w:rPr>
        <w:t xml:space="preserve">1. </w:t>
      </w:r>
      <w:r>
        <w:rPr>
          <w:b w:val="0"/>
          <w:i w:val="0"/>
        </w:rPr>
        <w:t>подлежит периодическому контролю</w:t>
      </w:r>
    </w:p>
    <w:p>
      <w:pPr>
        <w:pStyle w:val="ListBullet"/>
      </w:pPr>
      <w:r>
        <w:rPr>
          <w:b/>
        </w:rPr>
        <w:t xml:space="preserve">2. </w:t>
      </w:r>
      <w:r>
        <w:rPr>
          <w:b w:val="0"/>
          <w:i w:val="0"/>
        </w:rPr>
        <w:t>подлежит периодическому контролю только в случае, если численность экспонированного населения свыше 1 млн. лиц</w:t>
      </w:r>
    </w:p>
    <w:p>
      <w:pPr>
        <w:pStyle w:val="ListBullet"/>
      </w:pPr>
      <w:r>
        <w:rPr>
          <w:b/>
        </w:rPr>
        <w:t xml:space="preserve">3. </w:t>
      </w:r>
      <w:r>
        <w:rPr>
          <w:b/>
          <w:i w:val="0"/>
          <w:color w:val="0F766E"/>
          <w:highlight w:val="yellow"/>
        </w:rPr>
        <w:t>подлежит постоянному контролю</w:t>
      </w:r>
    </w:p>
    <w:p>
      <w:pPr>
        <w:pStyle w:val="ListBullet"/>
      </w:pPr>
      <w:r>
        <w:rPr>
          <w:b/>
        </w:rPr>
        <w:t xml:space="preserve">4. </w:t>
      </w:r>
      <w:r>
        <w:rPr>
          <w:b w:val="0"/>
          <w:i w:val="0"/>
        </w:rPr>
        <w:t>не подлежит контролю</w:t>
      </w:r>
    </w:p>
    <w:p>
      <w:pPr>
        <w:ind w:left="288"/>
      </w:pPr>
      <w:r>
        <w:rPr>
          <w:b/>
          <w:color w:val="0F766E"/>
          <w:highlight w:val="yellow"/>
        </w:rPr>
        <w:t xml:space="preserve">Правильный ответ: </w:t>
      </w:r>
      <w:r>
        <w:rPr>
          <w:b/>
          <w:i w:val="0"/>
        </w:rPr>
        <w:t>подлежит постоянному контролю</w:t>
      </w:r>
    </w:p>
    <w:p>
      <w:pPr>
        <w:ind w:left="504"/>
      </w:pPr>
      <w:r>
        <w:rPr>
          <w:b w:val="0"/>
          <w:i/>
        </w:rPr>
        <w:t>Индивидуальный риск в течение всей жизни более 1×10-6, но менее 1×10-4, соответствует предельно допустимому риску, т. е. верхней границе приемлемого риска. Подобный уровень риска подлежит постоянному контролю.</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2">
        <w:r>
          <w:rPr>
            <w:color w:val="0F766E"/>
            <w:u w:val="single"/>
          </w:rPr>
          <w:t>(1)</w:t>
        </w:r>
      </w:hyperlink>
    </w:p>
    <w:p>
      <w:r>
        <w:rPr>
          <w:b/>
          <w:color w:val="0F766E"/>
        </w:rPr>
        <w:t>11. Вопрос</w:t>
      </w:r>
    </w:p>
    <w:p>
      <w:r>
        <w:rPr>
          <w:b w:val="0"/>
          <w:i w:val="0"/>
        </w:rPr>
        <w:t>По результатам проведенной оценки риска установлено, что индивидуальный риск в течение всей жизни более 1×10-6, но менее 1×10-4. Подобный риск организации и выполнения дополнительных мероприятий по его снижению</w:t>
      </w:r>
    </w:p>
    <w:p>
      <w:pPr>
        <w:pStyle w:val="ListBullet"/>
      </w:pPr>
      <w:r>
        <w:rPr>
          <w:b/>
        </w:rPr>
        <w:t xml:space="preserve">1. </w:t>
      </w:r>
      <w:r>
        <w:rPr>
          <w:b w:val="0"/>
          <w:i w:val="0"/>
        </w:rPr>
        <w:t>требует разработки и проведения экстренных оздоровительных мероприятий</w:t>
      </w:r>
    </w:p>
    <w:p>
      <w:pPr>
        <w:pStyle w:val="ListBullet"/>
      </w:pPr>
      <w:r>
        <w:rPr>
          <w:b/>
        </w:rPr>
        <w:t xml:space="preserve">2. </w:t>
      </w:r>
      <w:r>
        <w:rPr>
          <w:b w:val="0"/>
          <w:i w:val="0"/>
        </w:rPr>
        <w:t>требует разработки и проведения плановых оздоровительных мероприятий</w:t>
      </w:r>
    </w:p>
    <w:p>
      <w:pPr>
        <w:pStyle w:val="ListBullet"/>
      </w:pPr>
      <w:r>
        <w:rPr>
          <w:b/>
        </w:rPr>
        <w:t xml:space="preserve">3. </w:t>
      </w:r>
      <w:r>
        <w:rPr>
          <w:b w:val="0"/>
          <w:i w:val="0"/>
        </w:rPr>
        <w:t>требует разработки и проведения плановых оздоровительных мероприятий в случае, если численность экспонированного населения свыше 1 млн. лиц</w:t>
      </w:r>
    </w:p>
    <w:p>
      <w:pPr>
        <w:pStyle w:val="ListBullet"/>
      </w:pPr>
      <w:r>
        <w:rPr>
          <w:b/>
        </w:rPr>
        <w:t xml:space="preserve">4. </w:t>
      </w:r>
      <w:r>
        <w:rPr>
          <w:b/>
          <w:i w:val="0"/>
          <w:color w:val="0F766E"/>
          <w:highlight w:val="yellow"/>
        </w:rPr>
        <w:t>не требует, но в некоторых случаях при таких уровнях риска могут проводиться дополнительные мероприятия по их снижению</w:t>
      </w:r>
    </w:p>
    <w:p>
      <w:pPr>
        <w:ind w:left="288"/>
      </w:pPr>
      <w:r>
        <w:rPr>
          <w:b/>
          <w:color w:val="0F766E"/>
          <w:highlight w:val="yellow"/>
        </w:rPr>
        <w:t xml:space="preserve">Правильный ответ: </w:t>
      </w:r>
      <w:r>
        <w:rPr>
          <w:b/>
          <w:i w:val="0"/>
        </w:rPr>
        <w:t>не требует, но в некоторых случаях при таких уровнях риска могут проводиться дополнительные мероприятия по их снижению</w:t>
      </w:r>
    </w:p>
    <w:p>
      <w:pPr>
        <w:ind w:left="504"/>
      </w:pPr>
      <w:r>
        <w:rPr>
          <w:b w:val="0"/>
          <w:i/>
        </w:rPr>
        <w:t>Индивидуальный риск в течение всей жизни более 1×10-6, но менее 1×10-4, соответствует предельно допустимому риску, т. е. верхней границе приемлемого риска. Подобный риск не требует организации и выполнения дополнительных мероприятий по его снижению, но в некоторых случаях при таких уровнях риска могут проводиться дополнительные мероприятия по их снижению.</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2">
        <w:r>
          <w:rPr>
            <w:color w:val="0F766E"/>
            <w:u w:val="single"/>
          </w:rPr>
          <w:t>(1)</w:t>
        </w:r>
      </w:hyperlink>
    </w:p>
    <w:p>
      <w:r>
        <w:rPr>
          <w:b/>
          <w:color w:val="0F766E"/>
        </w:rPr>
        <w:t>12. Вопрос</w:t>
      </w:r>
    </w:p>
    <w:p>
      <w:r>
        <w:rPr>
          <w:b w:val="0"/>
          <w:i w:val="0"/>
        </w:rPr>
        <w:t>В оценке риска здоровью различают четыре вида оценки эффекта: добавочный (атрибутивный) риск, добавочный популяционный риск, добавочная доля популяционного риска, а также</w:t>
      </w:r>
    </w:p>
    <w:p>
      <w:pPr>
        <w:pStyle w:val="ListBullet"/>
      </w:pPr>
      <w:r>
        <w:rPr>
          <w:b/>
        </w:rPr>
        <w:t xml:space="preserve">1. </w:t>
      </w:r>
      <w:r>
        <w:rPr>
          <w:b w:val="0"/>
          <w:i w:val="0"/>
        </w:rPr>
        <w:t>индивидуальный риск</w:t>
      </w:r>
    </w:p>
    <w:p>
      <w:pPr>
        <w:pStyle w:val="ListBullet"/>
      </w:pPr>
      <w:r>
        <w:rPr>
          <w:b/>
        </w:rPr>
        <w:t xml:space="preserve">2. </w:t>
      </w:r>
      <w:r>
        <w:rPr>
          <w:b w:val="0"/>
          <w:i w:val="0"/>
        </w:rPr>
        <w:t>добавочная доля атрибутивного риска</w:t>
      </w:r>
    </w:p>
    <w:p>
      <w:pPr>
        <w:pStyle w:val="ListBullet"/>
      </w:pPr>
      <w:r>
        <w:rPr>
          <w:b/>
        </w:rPr>
        <w:t xml:space="preserve">3. </w:t>
      </w:r>
      <w:r>
        <w:rPr>
          <w:b w:val="0"/>
          <w:i w:val="0"/>
        </w:rPr>
        <w:t>опосредованный риск</w:t>
      </w:r>
    </w:p>
    <w:p>
      <w:pPr>
        <w:pStyle w:val="ListBullet"/>
      </w:pPr>
      <w:r>
        <w:rPr>
          <w:b/>
        </w:rPr>
        <w:t xml:space="preserve">4. </w:t>
      </w:r>
      <w:r>
        <w:rPr>
          <w:b/>
          <w:i w:val="0"/>
          <w:color w:val="0F766E"/>
          <w:highlight w:val="yellow"/>
        </w:rPr>
        <w:t>относительный риск</w:t>
      </w:r>
    </w:p>
    <w:p>
      <w:pPr>
        <w:ind w:left="288"/>
      </w:pPr>
      <w:r>
        <w:rPr>
          <w:b/>
          <w:color w:val="0F766E"/>
          <w:highlight w:val="yellow"/>
        </w:rPr>
        <w:t xml:space="preserve">Правильный ответ: </w:t>
      </w:r>
      <w:r>
        <w:rPr>
          <w:b/>
          <w:i w:val="0"/>
        </w:rPr>
        <w:t>относительный риск</w:t>
      </w:r>
    </w:p>
    <w:p>
      <w:pPr>
        <w:ind w:left="504"/>
      </w:pPr>
      <w:r>
        <w:rPr>
          <w:b w:val="0"/>
          <w:i/>
        </w:rPr>
        <w:t>В оценке риска здоровью различают четыре вида оценки эффекта: добавочный (атрибутивный) риск, относительный риск, добавочный популяционный риск, добавочная доля популяционного риска.</w:t>
        <w:br/>
        <w:br/>
        <w:t>Относительный риск (англ. Risk ratio, RR) - отношение вероятности возникновения какого-либо заболевания у лиц, подвергавшихся воздействию изучаемого фактора, к вероятности заболевания у лиц, не подвергавшихся этому воздействию. Отношение рисков менее единицы, свидетельствует об отсутствии влияния исследуемого фактора на развитие ответа (неблагоприятного эффекта). Чем больше эта величина превышает единицу, тем более сильное влияние данный фактор оказывает на риск возникновения нарушений состояния здоровья.</w:t>
        <w:br/>
        <w:br/>
      </w:r>
      <w:hyperlink r:id="rId15">
        <w:r>
          <w:rPr>
            <w:color w:val="0F766E"/>
            <w:u w:val="single"/>
          </w:rPr>
          <w:t>Р 2.1.10.3968-23 "Руководство по оценке риска здоровью населения при воздействии химических веществ, загрязняющих среду обитания" (утв. Федеральной службой по надзору в сфере здравоохранения от 5 сентября 2023 г.)</w:t>
        </w:r>
      </w:hyperlink>
      <w:r>
        <w:rPr>
          <w:b w:val="0"/>
          <w:i/>
        </w:rPr>
        <w:br/>
        <w:br/>
      </w:r>
      <w:hyperlink r:id="rId23">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ostN60/" TargetMode="External"/><Relationship Id="rId10" Type="http://schemas.openxmlformats.org/officeDocument/2006/relationships/hyperlink" Target="https://library.mededtech.ru/rest/documents/postN60/#list_item_m1v38r" TargetMode="External"/><Relationship Id="rId11" Type="http://schemas.openxmlformats.org/officeDocument/2006/relationships/hyperlink" Target="https://library.mededtech.ru/rest/documents/fzN52_261224/" TargetMode="External"/><Relationship Id="rId12" Type="http://schemas.openxmlformats.org/officeDocument/2006/relationships/hyperlink" Target="https://library.mededtech.ru/rest/documents/fzN52_261224/#&#1057;&#1090;&#1072;&#1090;&#1100;&#1103;_2_&#1054;&#1073;&#1077;&#1089;&#1087;&#1077;&#1095;&#1077;&#1085;&#1080;&#1077;_&#1089;&#1072;&#1085;&#1080;&#1090;&#1072;&#1088;&#1085;&#1086;_&#1101;&#1087;&#1080;&#1076;&#1077;&#1084;&#1080;&#1086;&#1083;&#1086;&#1075;&#1080;&#1095;&#1077;&#1089;&#1082;&#1086;&#1075;&#1086;_&#1073;&#1083;&#1072;&#1075;&#1086;&#1087;&#1086;&#1083;&#1091;&#1095;&#1080;&#1103;_&#1085;&#1072;&#1089;&#1077;&#1083;&#1077;&#1085;&#1080;&#1103;" TargetMode="External"/><Relationship Id="rId13" Type="http://schemas.openxmlformats.org/officeDocument/2006/relationships/hyperlink" Target="https://library.mededtech.ru/rest/documents/fzN52_261224/#&#1057;&#1090;&#1072;&#1090;&#1100;&#1103;_45_&#1057;&#1086;&#1094;&#1080;&#1072;&#1083;&#1100;&#1085;&#1086;_&#1075;&#1080;&#1075;&#1080;&#1077;&#1085;&#1080;&#1095;&#1077;&#1089;&#1082;&#1080;&#1081;_&#1084;&#1086;&#1085;&#1080;&#1090;&#1086;&#1088;&#1080;&#1085;&#1075;" TargetMode="External"/><Relationship Id="rId14" Type="http://schemas.openxmlformats.org/officeDocument/2006/relationships/hyperlink" Target="https://library.mededtech.ru/rest/documents/postN60/#list_item_ph439u" TargetMode="External"/><Relationship Id="rId15" Type="http://schemas.openxmlformats.org/officeDocument/2006/relationships/hyperlink" Target="https://library.mededtech.ru/rest/documents/2.1.10.3968-23/" TargetMode="External"/><Relationship Id="rId16" Type="http://schemas.openxmlformats.org/officeDocument/2006/relationships/hyperlink" Target="https://library.mededtech.ru/rest/documents/2.1.10.3968-23/#paragraph_s5htn8" TargetMode="External"/><Relationship Id="rId17" Type="http://schemas.openxmlformats.org/officeDocument/2006/relationships/hyperlink" Target="https://library.mededtech.ru/rest/documents/2.1.10.3968-23/#paragraph_vo528b" TargetMode="External"/><Relationship Id="rId18" Type="http://schemas.openxmlformats.org/officeDocument/2006/relationships/hyperlink" Target="https://library.mededtech.ru/rest/documents/2.1.10.3968-23/index.html#paragraph_s06e55" TargetMode="External"/><Relationship Id="rId19" Type="http://schemas.openxmlformats.org/officeDocument/2006/relationships/hyperlink" Target="https://library.mededtech.ru/rest/documents/2.1.10.3968-23/index.html#paragraph_rhqpej" TargetMode="External"/><Relationship Id="rId20" Type="http://schemas.openxmlformats.org/officeDocument/2006/relationships/hyperlink" Target="https://library.mededtech.ru/rest/documents/2.1.10.3968-23/index.html#p2-2-2" TargetMode="External"/><Relationship Id="rId21" Type="http://schemas.openxmlformats.org/officeDocument/2006/relationships/hyperlink" Target="https://library.mededtech.ru/rest/documents/2.1.10.3968-23/index.html#list_item_28ov0l" TargetMode="External"/><Relationship Id="rId22" Type="http://schemas.openxmlformats.org/officeDocument/2006/relationships/hyperlink" Target="https://library.mededtech.ru/rest/documents/2.1.10.3968-23/#table6-7" TargetMode="External"/><Relationship Id="rId23" Type="http://schemas.openxmlformats.org/officeDocument/2006/relationships/hyperlink" Target="https://library.mededtech.ru/rest/documents/2.1.10.3968-23/#paragraph_frlh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